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349BE" w14:textId="7C5BD7FA" w:rsidR="0007384A" w:rsidRPr="005726E0" w:rsidRDefault="0007384A" w:rsidP="00B8187F">
      <w:pPr>
        <w:pStyle w:val="Heading1"/>
        <w:jc w:val="both"/>
        <w:rPr>
          <w:b/>
          <w:bCs w:val="0"/>
          <w:lang w:val="en-US"/>
        </w:rPr>
      </w:pPr>
      <w:bookmarkStart w:id="0" w:name="_Hlk22035024"/>
      <w:r w:rsidRPr="005726E0">
        <w:rPr>
          <w:b/>
          <w:bCs w:val="0"/>
          <w:lang w:val="en-US"/>
        </w:rPr>
        <w:t>Short</w:t>
      </w:r>
      <w:r w:rsidR="00B8187F">
        <w:rPr>
          <w:b/>
          <w:bCs w:val="0"/>
          <w:lang w:val="en-US"/>
        </w:rPr>
        <w:t>-</w:t>
      </w:r>
      <w:r w:rsidRPr="005726E0">
        <w:rPr>
          <w:b/>
          <w:bCs w:val="0"/>
          <w:lang w:val="en-US"/>
        </w:rPr>
        <w:t>term future vision of the port</w:t>
      </w:r>
    </w:p>
    <w:p w14:paraId="1439B3D4" w14:textId="6CFCCE19" w:rsidR="0007384A" w:rsidRDefault="00B8187F" w:rsidP="00B8187F">
      <w:pPr>
        <w:pStyle w:val="BodyText"/>
        <w:ind w:left="0"/>
        <w:jc w:val="both"/>
        <w:rPr>
          <w:sz w:val="22"/>
          <w:lang w:val="en-GB"/>
        </w:rPr>
      </w:pPr>
      <w:r>
        <w:rPr>
          <w:sz w:val="22"/>
          <w:lang w:val="en-GB"/>
        </w:rPr>
        <w:t>The l</w:t>
      </w:r>
      <w:r w:rsidR="0007384A" w:rsidRPr="007A18A4">
        <w:rPr>
          <w:sz w:val="22"/>
          <w:lang w:val="en-GB"/>
        </w:rPr>
        <w:t>ast three years have been fruitful for new EU regulations and frameworks, which will affect the port</w:t>
      </w:r>
      <w:r>
        <w:rPr>
          <w:sz w:val="22"/>
          <w:lang w:val="en-GB"/>
        </w:rPr>
        <w:t>'s</w:t>
      </w:r>
      <w:r w:rsidR="0007384A" w:rsidRPr="007A18A4">
        <w:rPr>
          <w:sz w:val="22"/>
          <w:lang w:val="en-GB"/>
        </w:rPr>
        <w:t xml:space="preserve"> day-to-day activities and especially its energy and environmental profile. There are already many hopes and visions describing the port image of the future in such documents as </w:t>
      </w:r>
      <w:r>
        <w:rPr>
          <w:sz w:val="22"/>
          <w:lang w:val="en-GB"/>
        </w:rPr>
        <w:t xml:space="preserve">the </w:t>
      </w:r>
      <w:hyperlink r:id="rId11" w:history="1">
        <w:r w:rsidR="0007384A" w:rsidRPr="007A18A4">
          <w:rPr>
            <w:rStyle w:val="Hyperlink"/>
            <w:sz w:val="22"/>
            <w:lang w:val="en-GB"/>
          </w:rPr>
          <w:t>EU Green Deal</w:t>
        </w:r>
      </w:hyperlink>
      <w:r w:rsidR="0007384A" w:rsidRPr="007A18A4">
        <w:rPr>
          <w:sz w:val="22"/>
          <w:lang w:val="en-GB"/>
        </w:rPr>
        <w:t xml:space="preserve">, </w:t>
      </w:r>
      <w:hyperlink r:id="rId12" w:history="1">
        <w:r w:rsidR="0007384A" w:rsidRPr="007A18A4">
          <w:rPr>
            <w:rStyle w:val="Hyperlink"/>
            <w:sz w:val="22"/>
            <w:lang w:val="en-GB"/>
          </w:rPr>
          <w:t>EU’s Fit for 55 package</w:t>
        </w:r>
      </w:hyperlink>
      <w:r w:rsidR="0007384A" w:rsidRPr="007A18A4">
        <w:rPr>
          <w:sz w:val="22"/>
          <w:lang w:val="en-GB"/>
        </w:rPr>
        <w:t xml:space="preserve"> and </w:t>
      </w:r>
      <w:hyperlink r:id="rId13" w:history="1">
        <w:r w:rsidR="0007384A" w:rsidRPr="007A18A4">
          <w:rPr>
            <w:rStyle w:val="Hyperlink"/>
            <w:sz w:val="22"/>
            <w:lang w:val="en-GB"/>
          </w:rPr>
          <w:t>ESPO Green Guide 2021</w:t>
        </w:r>
      </w:hyperlink>
      <w:r w:rsidR="0007384A" w:rsidRPr="007A18A4">
        <w:rPr>
          <w:sz w:val="22"/>
          <w:lang w:val="en-GB"/>
        </w:rPr>
        <w:t>. Altogether there are about 99 pages of reading material. However, to save you time and energy, here are our 12 bullet points with keywords from those publications: answering the following three questions.</w:t>
      </w:r>
    </w:p>
    <w:p w14:paraId="397B91FD" w14:textId="77777777" w:rsidR="008B3B64" w:rsidRPr="00DB4984" w:rsidRDefault="008B3B64" w:rsidP="00B8187F">
      <w:pPr>
        <w:pStyle w:val="BodyText"/>
        <w:ind w:left="0"/>
        <w:jc w:val="both"/>
        <w:rPr>
          <w:sz w:val="22"/>
          <w:lang w:val="en-GB"/>
        </w:rPr>
      </w:pPr>
    </w:p>
    <w:bookmarkEnd w:id="0"/>
    <w:p w14:paraId="04B47CF3" w14:textId="4847D24E" w:rsidR="0007384A" w:rsidRPr="00A36D8D" w:rsidRDefault="0007384A" w:rsidP="00B8187F">
      <w:pPr>
        <w:pStyle w:val="Heading2"/>
        <w:jc w:val="both"/>
        <w:rPr>
          <w:lang w:val="en-GB"/>
        </w:rPr>
      </w:pPr>
      <w:r w:rsidRPr="00A36D8D">
        <w:rPr>
          <w:lang w:val="en-GB"/>
        </w:rPr>
        <w:t xml:space="preserve">What is </w:t>
      </w:r>
      <w:r w:rsidR="00B8187F">
        <w:rPr>
          <w:lang w:val="en-GB"/>
        </w:rPr>
        <w:t xml:space="preserve">the </w:t>
      </w:r>
      <w:r w:rsidRPr="00A36D8D">
        <w:rPr>
          <w:lang w:val="en-GB"/>
        </w:rPr>
        <w:t xml:space="preserve">port authority of </w:t>
      </w:r>
      <w:r w:rsidR="00B8187F">
        <w:rPr>
          <w:lang w:val="en-GB"/>
        </w:rPr>
        <w:t xml:space="preserve">the </w:t>
      </w:r>
      <w:r w:rsidRPr="00A36D8D">
        <w:rPr>
          <w:lang w:val="en-GB"/>
        </w:rPr>
        <w:t>near future?</w:t>
      </w:r>
    </w:p>
    <w:p w14:paraId="1B2A1AD8" w14:textId="0B075E1C" w:rsidR="0007384A" w:rsidRPr="00A828CB" w:rsidRDefault="0007384A" w:rsidP="00B8187F">
      <w:pPr>
        <w:pStyle w:val="ListParagraph"/>
        <w:numPr>
          <w:ilvl w:val="0"/>
          <w:numId w:val="2"/>
        </w:numPr>
        <w:tabs>
          <w:tab w:val="clear" w:pos="357"/>
        </w:tabs>
        <w:ind w:hanging="357"/>
        <w:jc w:val="both"/>
        <w:rPr>
          <w:sz w:val="22"/>
          <w:lang w:val="en-GB"/>
        </w:rPr>
      </w:pPr>
      <w:r w:rsidRPr="00A828CB">
        <w:rPr>
          <w:sz w:val="22"/>
          <w:lang w:val="en-GB"/>
        </w:rPr>
        <w:t xml:space="preserve">it is a logistical hub, </w:t>
      </w:r>
      <w:r w:rsidR="00B8187F">
        <w:rPr>
          <w:sz w:val="22"/>
          <w:lang w:val="en-GB"/>
        </w:rPr>
        <w:t xml:space="preserve">a </w:t>
      </w:r>
      <w:r w:rsidRPr="00A828CB">
        <w:rPr>
          <w:sz w:val="22"/>
          <w:lang w:val="en-GB"/>
        </w:rPr>
        <w:t xml:space="preserve">centre of </w:t>
      </w:r>
      <w:r w:rsidR="00B8187F">
        <w:rPr>
          <w:sz w:val="22"/>
          <w:lang w:val="en-GB"/>
        </w:rPr>
        <w:t xml:space="preserve">the </w:t>
      </w:r>
      <w:r w:rsidRPr="00A828CB">
        <w:rPr>
          <w:sz w:val="22"/>
          <w:lang w:val="en-GB"/>
        </w:rPr>
        <w:t xml:space="preserve">industrial supply chain (production, distribution), which plays important role in avoiding unnecessary </w:t>
      </w:r>
      <w:proofErr w:type="gramStart"/>
      <w:r w:rsidRPr="00A828CB">
        <w:rPr>
          <w:sz w:val="22"/>
          <w:lang w:val="en-GB"/>
        </w:rPr>
        <w:t>transport;</w:t>
      </w:r>
      <w:proofErr w:type="gramEnd"/>
    </w:p>
    <w:p w14:paraId="39549C86" w14:textId="34B219BC" w:rsidR="0007384A" w:rsidRPr="00A828CB" w:rsidRDefault="0007384A" w:rsidP="00B8187F">
      <w:pPr>
        <w:pStyle w:val="ListParagraph"/>
        <w:numPr>
          <w:ilvl w:val="0"/>
          <w:numId w:val="2"/>
        </w:numPr>
        <w:tabs>
          <w:tab w:val="clear" w:pos="357"/>
        </w:tabs>
        <w:ind w:hanging="357"/>
        <w:jc w:val="both"/>
        <w:rPr>
          <w:sz w:val="22"/>
          <w:lang w:val="en-GB"/>
        </w:rPr>
      </w:pPr>
      <w:r w:rsidRPr="00A828CB">
        <w:rPr>
          <w:sz w:val="22"/>
          <w:lang w:val="en-GB"/>
        </w:rPr>
        <w:t xml:space="preserve">it has </w:t>
      </w:r>
      <w:r w:rsidR="00B8187F">
        <w:rPr>
          <w:sz w:val="22"/>
          <w:lang w:val="en-GB"/>
        </w:rPr>
        <w:t xml:space="preserve">a </w:t>
      </w:r>
      <w:r w:rsidRPr="00A828CB">
        <w:rPr>
          <w:sz w:val="22"/>
          <w:lang w:val="en-GB"/>
        </w:rPr>
        <w:t>green image:</w:t>
      </w:r>
    </w:p>
    <w:p w14:paraId="7E05822A" w14:textId="12C903A8" w:rsidR="0007384A" w:rsidRPr="00A828CB" w:rsidRDefault="0007384A" w:rsidP="00B8187F">
      <w:pPr>
        <w:pStyle w:val="ListParagraph"/>
        <w:numPr>
          <w:ilvl w:val="0"/>
          <w:numId w:val="5"/>
        </w:numPr>
        <w:tabs>
          <w:tab w:val="clear" w:pos="357"/>
        </w:tabs>
        <w:jc w:val="both"/>
        <w:rPr>
          <w:sz w:val="22"/>
          <w:lang w:val="en-GB"/>
        </w:rPr>
      </w:pPr>
      <w:r w:rsidRPr="00A828CB">
        <w:rPr>
          <w:sz w:val="22"/>
          <w:lang w:val="en-GB"/>
        </w:rPr>
        <w:t xml:space="preserve">monitors noise, </w:t>
      </w:r>
      <w:r w:rsidR="00B8187F">
        <w:rPr>
          <w:sz w:val="22"/>
          <w:lang w:val="en-GB"/>
        </w:rPr>
        <w:t xml:space="preserve">is </w:t>
      </w:r>
      <w:r w:rsidRPr="00A828CB">
        <w:rPr>
          <w:sz w:val="22"/>
          <w:lang w:val="en-GB"/>
        </w:rPr>
        <w:t xml:space="preserve">silent at night, switches to electric equipment and machinery, applies differentiated dues to reward quitter </w:t>
      </w:r>
      <w:proofErr w:type="gramStart"/>
      <w:r w:rsidRPr="00A828CB">
        <w:rPr>
          <w:sz w:val="22"/>
          <w:lang w:val="en-GB"/>
        </w:rPr>
        <w:t>vessels;</w:t>
      </w:r>
      <w:proofErr w:type="gramEnd"/>
      <w:r w:rsidRPr="00A828CB">
        <w:rPr>
          <w:sz w:val="22"/>
          <w:lang w:val="en-GB"/>
        </w:rPr>
        <w:t xml:space="preserve"> </w:t>
      </w:r>
    </w:p>
    <w:p w14:paraId="345F7C05" w14:textId="77777777" w:rsidR="0007384A" w:rsidRPr="00A828CB" w:rsidRDefault="0007384A" w:rsidP="00B8187F">
      <w:pPr>
        <w:pStyle w:val="ListParagraph"/>
        <w:numPr>
          <w:ilvl w:val="0"/>
          <w:numId w:val="5"/>
        </w:numPr>
        <w:tabs>
          <w:tab w:val="clear" w:pos="357"/>
        </w:tabs>
        <w:jc w:val="both"/>
        <w:rPr>
          <w:sz w:val="22"/>
          <w:lang w:val="en-GB"/>
        </w:rPr>
      </w:pPr>
      <w:r w:rsidRPr="00A828CB">
        <w:rPr>
          <w:sz w:val="22"/>
          <w:lang w:val="en-GB"/>
        </w:rPr>
        <w:t xml:space="preserve">manages own wastes and receives waste from vessels, applies indirect waste fee paid by </w:t>
      </w:r>
      <w:proofErr w:type="gramStart"/>
      <w:r w:rsidRPr="00A828CB">
        <w:rPr>
          <w:sz w:val="22"/>
          <w:lang w:val="en-GB"/>
        </w:rPr>
        <w:t>vessels;</w:t>
      </w:r>
      <w:proofErr w:type="gramEnd"/>
    </w:p>
    <w:p w14:paraId="4E25A1E9" w14:textId="77777777" w:rsidR="0007384A" w:rsidRPr="00A828CB" w:rsidRDefault="0007384A" w:rsidP="00B8187F">
      <w:pPr>
        <w:pStyle w:val="ListParagraph"/>
        <w:numPr>
          <w:ilvl w:val="0"/>
          <w:numId w:val="5"/>
        </w:numPr>
        <w:tabs>
          <w:tab w:val="clear" w:pos="357"/>
        </w:tabs>
        <w:jc w:val="both"/>
        <w:rPr>
          <w:sz w:val="22"/>
          <w:lang w:val="en-GB"/>
        </w:rPr>
      </w:pPr>
      <w:r w:rsidRPr="00A828CB">
        <w:rPr>
          <w:sz w:val="22"/>
          <w:lang w:val="en-GB"/>
        </w:rPr>
        <w:t>ready for upcoming changes in climate, resilient to flooding and storms with its structures,</w:t>
      </w:r>
    </w:p>
    <w:p w14:paraId="14C1362C" w14:textId="22ABC819" w:rsidR="0007384A" w:rsidRPr="00A828CB" w:rsidRDefault="0007384A" w:rsidP="00B8187F">
      <w:pPr>
        <w:pStyle w:val="ListParagraph"/>
        <w:numPr>
          <w:ilvl w:val="0"/>
          <w:numId w:val="5"/>
        </w:numPr>
        <w:tabs>
          <w:tab w:val="clear" w:pos="357"/>
        </w:tabs>
        <w:jc w:val="both"/>
        <w:rPr>
          <w:sz w:val="22"/>
          <w:lang w:val="en-GB"/>
        </w:rPr>
      </w:pPr>
      <w:r w:rsidRPr="00A828CB">
        <w:rPr>
          <w:sz w:val="22"/>
          <w:lang w:val="en-GB"/>
        </w:rPr>
        <w:t>carbon</w:t>
      </w:r>
      <w:r w:rsidR="00B8187F">
        <w:rPr>
          <w:sz w:val="22"/>
          <w:lang w:val="en-GB"/>
        </w:rPr>
        <w:t>-</w:t>
      </w:r>
      <w:r w:rsidRPr="00A828CB">
        <w:rPr>
          <w:sz w:val="22"/>
          <w:lang w:val="en-GB"/>
        </w:rPr>
        <w:t xml:space="preserve">free, monitors and has </w:t>
      </w:r>
      <w:r w:rsidR="00B8187F">
        <w:rPr>
          <w:sz w:val="22"/>
          <w:lang w:val="en-GB"/>
        </w:rPr>
        <w:t xml:space="preserve">an </w:t>
      </w:r>
      <w:r w:rsidRPr="00A828CB">
        <w:rPr>
          <w:sz w:val="22"/>
          <w:lang w:val="en-GB"/>
        </w:rPr>
        <w:t xml:space="preserve">inventory of emissions by port and port actors, knows its carbon footprint, aims at no emissions and no pollution </w:t>
      </w:r>
      <w:proofErr w:type="gramStart"/>
      <w:r w:rsidRPr="00A828CB">
        <w:rPr>
          <w:sz w:val="22"/>
          <w:lang w:val="en-GB"/>
        </w:rPr>
        <w:t>concepts;</w:t>
      </w:r>
      <w:proofErr w:type="gramEnd"/>
      <w:r w:rsidRPr="00A828CB">
        <w:rPr>
          <w:sz w:val="22"/>
          <w:lang w:val="en-GB"/>
        </w:rPr>
        <w:t xml:space="preserve"> </w:t>
      </w:r>
    </w:p>
    <w:p w14:paraId="5347F73F" w14:textId="5A75CF99" w:rsidR="0007384A" w:rsidRPr="00A828CB" w:rsidRDefault="0007384A" w:rsidP="00B8187F">
      <w:pPr>
        <w:pStyle w:val="ListParagraph"/>
        <w:numPr>
          <w:ilvl w:val="0"/>
          <w:numId w:val="5"/>
        </w:numPr>
        <w:tabs>
          <w:tab w:val="clear" w:pos="357"/>
        </w:tabs>
        <w:jc w:val="both"/>
        <w:rPr>
          <w:sz w:val="22"/>
          <w:lang w:val="en-GB"/>
        </w:rPr>
      </w:pPr>
      <w:r w:rsidRPr="00A828CB">
        <w:rPr>
          <w:sz w:val="22"/>
          <w:lang w:val="en-GB"/>
        </w:rPr>
        <w:t xml:space="preserve">addresses unfamiliar and novel issues as part of </w:t>
      </w:r>
      <w:r w:rsidR="00B8187F">
        <w:rPr>
          <w:sz w:val="22"/>
          <w:lang w:val="en-GB"/>
        </w:rPr>
        <w:t xml:space="preserve">the </w:t>
      </w:r>
      <w:r w:rsidRPr="00A828CB">
        <w:rPr>
          <w:sz w:val="22"/>
          <w:lang w:val="en-GB"/>
        </w:rPr>
        <w:t xml:space="preserve">transition to a greener future, </w:t>
      </w:r>
      <w:r w:rsidR="00F30201">
        <w:rPr>
          <w:sz w:val="22"/>
          <w:lang w:val="en-GB"/>
        </w:rPr>
        <w:t xml:space="preserve">the </w:t>
      </w:r>
      <w:r w:rsidRPr="00A828CB">
        <w:rPr>
          <w:sz w:val="22"/>
          <w:lang w:val="en-GB"/>
        </w:rPr>
        <w:t xml:space="preserve">frontrunner of Europe’s sustainable transition, supports </w:t>
      </w:r>
      <w:r w:rsidR="00F30201">
        <w:rPr>
          <w:sz w:val="22"/>
          <w:lang w:val="en-GB"/>
        </w:rPr>
        <w:t xml:space="preserve">a </w:t>
      </w:r>
      <w:r w:rsidRPr="00A828CB">
        <w:rPr>
          <w:sz w:val="22"/>
          <w:lang w:val="en-GB"/>
        </w:rPr>
        <w:t xml:space="preserve">blue economy (preserves sea and land for food, energy, raw materials and tourism use; carbon capture and storage) as well as </w:t>
      </w:r>
      <w:r w:rsidR="00F30201">
        <w:rPr>
          <w:sz w:val="22"/>
          <w:lang w:val="en-GB"/>
        </w:rPr>
        <w:t xml:space="preserve">the </w:t>
      </w:r>
      <w:r w:rsidRPr="00A828CB">
        <w:rPr>
          <w:sz w:val="22"/>
          <w:lang w:val="en-GB"/>
        </w:rPr>
        <w:t>circular economy (waste to resources, recycling, reusing</w:t>
      </w:r>
      <w:proofErr w:type="gramStart"/>
      <w:r w:rsidRPr="00A828CB">
        <w:rPr>
          <w:sz w:val="22"/>
          <w:lang w:val="en-GB"/>
        </w:rPr>
        <w:t>);</w:t>
      </w:r>
      <w:proofErr w:type="gramEnd"/>
    </w:p>
    <w:p w14:paraId="0AE50DBF" w14:textId="3868849D" w:rsidR="0007384A" w:rsidRPr="00A828CB" w:rsidRDefault="00F30201" w:rsidP="00B8187F">
      <w:pPr>
        <w:pStyle w:val="ListParagraph"/>
        <w:numPr>
          <w:ilvl w:val="0"/>
          <w:numId w:val="2"/>
        </w:numPr>
        <w:tabs>
          <w:tab w:val="clear" w:pos="357"/>
        </w:tabs>
        <w:ind w:hanging="357"/>
        <w:jc w:val="both"/>
        <w:rPr>
          <w:sz w:val="22"/>
          <w:lang w:val="en-GB"/>
        </w:rPr>
      </w:pPr>
      <w:r>
        <w:rPr>
          <w:sz w:val="22"/>
          <w:lang w:val="en-GB"/>
        </w:rPr>
        <w:t xml:space="preserve">a </w:t>
      </w:r>
      <w:r w:rsidR="0007384A" w:rsidRPr="00A828CB">
        <w:rPr>
          <w:sz w:val="22"/>
          <w:lang w:val="en-GB"/>
        </w:rPr>
        <w:t>hub of clean renewable energy (</w:t>
      </w:r>
      <w:r w:rsidR="0007384A" w:rsidRPr="00A828CB">
        <w:rPr>
          <w:sz w:val="22"/>
          <w:u w:val="single"/>
          <w:lang w:val="en-GB"/>
        </w:rPr>
        <w:t>off</w:t>
      </w:r>
      <w:r w:rsidR="0007384A" w:rsidRPr="00A828CB">
        <w:rPr>
          <w:sz w:val="22"/>
          <w:lang w:val="en-GB"/>
        </w:rPr>
        <w:t xml:space="preserve">shore wind and wave energy as well as </w:t>
      </w:r>
      <w:r w:rsidR="0007384A" w:rsidRPr="00A828CB">
        <w:rPr>
          <w:sz w:val="22"/>
          <w:u w:val="single"/>
          <w:lang w:val="en-GB"/>
        </w:rPr>
        <w:t>on</w:t>
      </w:r>
      <w:r w:rsidR="0007384A" w:rsidRPr="00A828CB">
        <w:rPr>
          <w:sz w:val="22"/>
          <w:lang w:val="en-GB"/>
        </w:rPr>
        <w:t xml:space="preserve">shore solar, wind, </w:t>
      </w:r>
      <w:r>
        <w:rPr>
          <w:sz w:val="22"/>
          <w:lang w:val="en-GB"/>
        </w:rPr>
        <w:t xml:space="preserve">and </w:t>
      </w:r>
      <w:r w:rsidR="0007384A" w:rsidRPr="00A828CB">
        <w:rPr>
          <w:sz w:val="22"/>
          <w:lang w:val="en-GB"/>
        </w:rPr>
        <w:t xml:space="preserve">bioenergy), provides onshore power supply to vessels and bunkering of LNG as </w:t>
      </w:r>
      <w:r>
        <w:rPr>
          <w:sz w:val="22"/>
          <w:lang w:val="en-GB"/>
        </w:rPr>
        <w:t xml:space="preserve">an </w:t>
      </w:r>
      <w:r w:rsidR="0007384A" w:rsidRPr="00A828CB">
        <w:rPr>
          <w:sz w:val="22"/>
          <w:lang w:val="en-GB"/>
        </w:rPr>
        <w:t xml:space="preserve">alternative fuel (to avoid emissions), produces hydrogen and/or hydrogen derived fuels (ammonia), applies Power-to-X solutions to use electricity for </w:t>
      </w:r>
      <w:r>
        <w:rPr>
          <w:sz w:val="22"/>
          <w:lang w:val="en-GB"/>
        </w:rPr>
        <w:t xml:space="preserve">the </w:t>
      </w:r>
      <w:r w:rsidR="0007384A" w:rsidRPr="00A828CB">
        <w:rPr>
          <w:sz w:val="22"/>
          <w:lang w:val="en-GB"/>
        </w:rPr>
        <w:t xml:space="preserve">production of hydrogen, methane and </w:t>
      </w:r>
      <w:proofErr w:type="gramStart"/>
      <w:r w:rsidR="0007384A" w:rsidRPr="00A828CB">
        <w:rPr>
          <w:sz w:val="22"/>
          <w:lang w:val="en-GB"/>
        </w:rPr>
        <w:t>ammonia;</w:t>
      </w:r>
      <w:proofErr w:type="gramEnd"/>
    </w:p>
    <w:p w14:paraId="104D1468" w14:textId="4C90DA43" w:rsidR="0007384A" w:rsidRDefault="00F30201" w:rsidP="00B8187F">
      <w:pPr>
        <w:pStyle w:val="ListParagraph"/>
        <w:numPr>
          <w:ilvl w:val="0"/>
          <w:numId w:val="2"/>
        </w:numPr>
        <w:tabs>
          <w:tab w:val="clear" w:pos="357"/>
        </w:tabs>
        <w:ind w:hanging="357"/>
        <w:jc w:val="both"/>
        <w:rPr>
          <w:sz w:val="22"/>
          <w:lang w:val="en-GB"/>
        </w:rPr>
      </w:pPr>
      <w:r>
        <w:rPr>
          <w:sz w:val="22"/>
          <w:lang w:val="en-GB"/>
        </w:rPr>
        <w:t xml:space="preserve">a </w:t>
      </w:r>
      <w:r w:rsidR="0007384A" w:rsidRPr="00A828CB">
        <w:rPr>
          <w:sz w:val="22"/>
          <w:lang w:val="en-GB"/>
        </w:rPr>
        <w:t xml:space="preserve">hub of innovative and digital technologies: sensors, meters, intelligent traffic lights, efficient buildings, </w:t>
      </w:r>
      <w:r>
        <w:rPr>
          <w:sz w:val="22"/>
          <w:lang w:val="en-GB"/>
        </w:rPr>
        <w:t xml:space="preserve">and </w:t>
      </w:r>
      <w:r w:rsidR="0007384A" w:rsidRPr="00A828CB">
        <w:rPr>
          <w:sz w:val="22"/>
          <w:lang w:val="en-GB"/>
        </w:rPr>
        <w:t>operational and environmental efficiency achieved via digitalization.</w:t>
      </w:r>
    </w:p>
    <w:p w14:paraId="6C121D12" w14:textId="27AE7CF0" w:rsidR="008B3B64" w:rsidRDefault="008B3B64" w:rsidP="008B3B64">
      <w:pPr>
        <w:jc w:val="both"/>
        <w:rPr>
          <w:sz w:val="22"/>
          <w:lang w:val="en-GB"/>
        </w:rPr>
      </w:pPr>
    </w:p>
    <w:p w14:paraId="6BFBB89C" w14:textId="77777777" w:rsidR="008B3B64" w:rsidRPr="008B3B64" w:rsidRDefault="008B3B64" w:rsidP="008B3B64">
      <w:pPr>
        <w:jc w:val="both"/>
        <w:rPr>
          <w:sz w:val="22"/>
          <w:lang w:val="en-GB"/>
        </w:rPr>
      </w:pPr>
    </w:p>
    <w:p w14:paraId="7814A036" w14:textId="77777777" w:rsidR="0007384A" w:rsidRPr="00A36D8D" w:rsidRDefault="0007384A" w:rsidP="00B8187F">
      <w:pPr>
        <w:pStyle w:val="Heading2"/>
        <w:jc w:val="both"/>
        <w:rPr>
          <w:lang w:val="en-GB"/>
        </w:rPr>
      </w:pPr>
      <w:r w:rsidRPr="00A36D8D">
        <w:rPr>
          <w:lang w:val="en-GB"/>
        </w:rPr>
        <w:lastRenderedPageBreak/>
        <w:t>What does port authority do with/for port actors and other ports?</w:t>
      </w:r>
    </w:p>
    <w:p w14:paraId="4A532DEE" w14:textId="77777777" w:rsidR="0007384A" w:rsidRPr="00A828CB" w:rsidRDefault="0007384A" w:rsidP="00B8187F">
      <w:pPr>
        <w:pStyle w:val="ListParagraph"/>
        <w:numPr>
          <w:ilvl w:val="0"/>
          <w:numId w:val="3"/>
        </w:numPr>
        <w:tabs>
          <w:tab w:val="clear" w:pos="357"/>
        </w:tabs>
        <w:ind w:left="714" w:hanging="357"/>
        <w:jc w:val="both"/>
        <w:rPr>
          <w:sz w:val="22"/>
          <w:lang w:val="en-GB"/>
        </w:rPr>
      </w:pPr>
      <w:r w:rsidRPr="00A828CB">
        <w:rPr>
          <w:sz w:val="22"/>
          <w:lang w:val="en-GB"/>
        </w:rPr>
        <w:t xml:space="preserve">it acts as a coordinator, catalyst and promoter of decarbonisation and greening for port </w:t>
      </w:r>
      <w:proofErr w:type="gramStart"/>
      <w:r w:rsidRPr="00A828CB">
        <w:rPr>
          <w:sz w:val="22"/>
          <w:lang w:val="en-GB"/>
        </w:rPr>
        <w:t>actors;</w:t>
      </w:r>
      <w:proofErr w:type="gramEnd"/>
    </w:p>
    <w:p w14:paraId="7415D61B" w14:textId="77777777" w:rsidR="0007384A" w:rsidRPr="00A828CB" w:rsidRDefault="0007384A" w:rsidP="00B8187F">
      <w:pPr>
        <w:pStyle w:val="ListParagraph"/>
        <w:numPr>
          <w:ilvl w:val="0"/>
          <w:numId w:val="3"/>
        </w:numPr>
        <w:tabs>
          <w:tab w:val="clear" w:pos="357"/>
        </w:tabs>
        <w:ind w:left="714" w:hanging="357"/>
        <w:jc w:val="both"/>
        <w:rPr>
          <w:sz w:val="22"/>
          <w:lang w:val="en-GB"/>
        </w:rPr>
      </w:pPr>
      <w:r w:rsidRPr="00A828CB">
        <w:rPr>
          <w:sz w:val="22"/>
          <w:lang w:val="en-GB"/>
        </w:rPr>
        <w:t xml:space="preserve">provides green discounts, differentiated port fees and advantageous treatment in ports, </w:t>
      </w:r>
    </w:p>
    <w:p w14:paraId="04C3B110" w14:textId="77777777" w:rsidR="0007384A" w:rsidRPr="00A828CB" w:rsidRDefault="0007384A" w:rsidP="00B8187F">
      <w:pPr>
        <w:pStyle w:val="ListParagraph"/>
        <w:numPr>
          <w:ilvl w:val="0"/>
          <w:numId w:val="3"/>
        </w:numPr>
        <w:tabs>
          <w:tab w:val="clear" w:pos="357"/>
        </w:tabs>
        <w:ind w:left="714" w:hanging="357"/>
        <w:jc w:val="both"/>
        <w:rPr>
          <w:sz w:val="22"/>
          <w:lang w:val="en-GB"/>
        </w:rPr>
      </w:pPr>
      <w:r w:rsidRPr="00A828CB">
        <w:rPr>
          <w:sz w:val="22"/>
          <w:lang w:val="en-GB"/>
        </w:rPr>
        <w:t xml:space="preserve">introduces port norms/rules for (sustainable) infrastructure investments, gives prizes for environmental performance, organizing/hosting webinars and </w:t>
      </w:r>
      <w:proofErr w:type="gramStart"/>
      <w:r w:rsidRPr="00A828CB">
        <w:rPr>
          <w:sz w:val="22"/>
          <w:lang w:val="en-GB"/>
        </w:rPr>
        <w:t>conferences;</w:t>
      </w:r>
      <w:proofErr w:type="gramEnd"/>
      <w:r w:rsidRPr="00A828CB">
        <w:rPr>
          <w:sz w:val="22"/>
          <w:lang w:val="en-GB"/>
        </w:rPr>
        <w:t xml:space="preserve"> </w:t>
      </w:r>
    </w:p>
    <w:p w14:paraId="626C71FA" w14:textId="32E62611" w:rsidR="0007384A" w:rsidRDefault="0007384A" w:rsidP="00B8187F">
      <w:pPr>
        <w:pStyle w:val="ListParagraph"/>
        <w:numPr>
          <w:ilvl w:val="0"/>
          <w:numId w:val="3"/>
        </w:numPr>
        <w:tabs>
          <w:tab w:val="clear" w:pos="357"/>
        </w:tabs>
        <w:ind w:left="714" w:hanging="357"/>
        <w:jc w:val="both"/>
        <w:rPr>
          <w:sz w:val="22"/>
          <w:lang w:val="en-GB"/>
        </w:rPr>
      </w:pPr>
      <w:r w:rsidRPr="00A828CB">
        <w:rPr>
          <w:sz w:val="22"/>
          <w:lang w:val="en-GB"/>
        </w:rPr>
        <w:t>collaborates with other ports and stakeholders on sustainability matters.</w:t>
      </w:r>
    </w:p>
    <w:p w14:paraId="424F3B82" w14:textId="77777777" w:rsidR="008B3B64" w:rsidRPr="00A828CB" w:rsidRDefault="008B3B64" w:rsidP="008B3B64">
      <w:pPr>
        <w:pStyle w:val="ListParagraph"/>
        <w:numPr>
          <w:ilvl w:val="0"/>
          <w:numId w:val="0"/>
        </w:numPr>
        <w:tabs>
          <w:tab w:val="clear" w:pos="357"/>
        </w:tabs>
        <w:ind w:left="714"/>
        <w:jc w:val="both"/>
        <w:rPr>
          <w:sz w:val="22"/>
          <w:lang w:val="en-GB"/>
        </w:rPr>
      </w:pPr>
    </w:p>
    <w:p w14:paraId="755D6260" w14:textId="56C0D8E7" w:rsidR="0007384A" w:rsidRPr="00A36D8D" w:rsidRDefault="0007384A" w:rsidP="00B8187F">
      <w:pPr>
        <w:pStyle w:val="Heading2"/>
        <w:jc w:val="both"/>
        <w:rPr>
          <w:lang w:val="en-GB"/>
        </w:rPr>
      </w:pPr>
      <w:r w:rsidRPr="00A36D8D">
        <w:rPr>
          <w:lang w:val="en-GB"/>
        </w:rPr>
        <w:t xml:space="preserve">How does </w:t>
      </w:r>
      <w:r w:rsidR="00F30201">
        <w:rPr>
          <w:lang w:val="en-GB"/>
        </w:rPr>
        <w:t xml:space="preserve">the </w:t>
      </w:r>
      <w:r w:rsidRPr="00A36D8D">
        <w:rPr>
          <w:lang w:val="en-GB"/>
        </w:rPr>
        <w:t>port authority build its communication with locals?</w:t>
      </w:r>
    </w:p>
    <w:p w14:paraId="1A9405EC" w14:textId="77777777" w:rsidR="0007384A" w:rsidRPr="00A828CB" w:rsidRDefault="0007384A" w:rsidP="00B8187F">
      <w:pPr>
        <w:pStyle w:val="ListParagraph"/>
        <w:numPr>
          <w:ilvl w:val="0"/>
          <w:numId w:val="4"/>
        </w:numPr>
        <w:tabs>
          <w:tab w:val="clear" w:pos="357"/>
        </w:tabs>
        <w:ind w:left="714" w:hanging="357"/>
        <w:jc w:val="both"/>
        <w:rPr>
          <w:sz w:val="22"/>
          <w:lang w:val="en-GB"/>
        </w:rPr>
      </w:pPr>
      <w:r w:rsidRPr="00A828CB">
        <w:rPr>
          <w:sz w:val="22"/>
          <w:lang w:val="en-GB"/>
        </w:rPr>
        <w:t xml:space="preserve">it actively takes part in projects, cooperates on strategic green investment decisions and promotes innovations in </w:t>
      </w:r>
      <w:proofErr w:type="gramStart"/>
      <w:r w:rsidRPr="00A828CB">
        <w:rPr>
          <w:sz w:val="22"/>
          <w:lang w:val="en-GB"/>
        </w:rPr>
        <w:t>port;</w:t>
      </w:r>
      <w:proofErr w:type="gramEnd"/>
    </w:p>
    <w:p w14:paraId="3BB3EAC1" w14:textId="2DD3C18D" w:rsidR="0007384A" w:rsidRPr="00A828CB" w:rsidRDefault="0007384A" w:rsidP="00B8187F">
      <w:pPr>
        <w:pStyle w:val="ListParagraph"/>
        <w:numPr>
          <w:ilvl w:val="0"/>
          <w:numId w:val="4"/>
        </w:numPr>
        <w:tabs>
          <w:tab w:val="clear" w:pos="357"/>
        </w:tabs>
        <w:ind w:left="714" w:hanging="357"/>
        <w:jc w:val="both"/>
        <w:rPr>
          <w:sz w:val="22"/>
          <w:lang w:val="en-GB"/>
        </w:rPr>
      </w:pPr>
      <w:r w:rsidRPr="00A828CB">
        <w:rPr>
          <w:sz w:val="22"/>
          <w:lang w:val="en-GB"/>
        </w:rPr>
        <w:t xml:space="preserve">provides opportunities for green businesses, provides areas/locations for them, supplies energy for them, is involved in synergies between industries and port, </w:t>
      </w:r>
      <w:r w:rsidR="00F30201">
        <w:rPr>
          <w:sz w:val="22"/>
          <w:lang w:val="en-GB"/>
        </w:rPr>
        <w:t xml:space="preserve">and </w:t>
      </w:r>
      <w:r w:rsidRPr="00A828CB">
        <w:rPr>
          <w:sz w:val="22"/>
          <w:lang w:val="en-GB"/>
        </w:rPr>
        <w:t xml:space="preserve">there is </w:t>
      </w:r>
      <w:r w:rsidR="00F30201">
        <w:rPr>
          <w:sz w:val="22"/>
          <w:lang w:val="en-GB"/>
        </w:rPr>
        <w:t xml:space="preserve">a </w:t>
      </w:r>
      <w:r w:rsidRPr="00A828CB">
        <w:rPr>
          <w:sz w:val="22"/>
          <w:lang w:val="en-GB"/>
        </w:rPr>
        <w:t xml:space="preserve">growing port </w:t>
      </w:r>
      <w:proofErr w:type="gramStart"/>
      <w:r w:rsidRPr="00A828CB">
        <w:rPr>
          <w:sz w:val="22"/>
          <w:lang w:val="en-GB"/>
        </w:rPr>
        <w:t>ecosystem;</w:t>
      </w:r>
      <w:proofErr w:type="gramEnd"/>
    </w:p>
    <w:p w14:paraId="0041B48D" w14:textId="51B0CC40" w:rsidR="0007384A" w:rsidRPr="00A828CB" w:rsidRDefault="0007384A" w:rsidP="00B8187F">
      <w:pPr>
        <w:pStyle w:val="ListParagraph"/>
        <w:numPr>
          <w:ilvl w:val="0"/>
          <w:numId w:val="4"/>
        </w:numPr>
        <w:tabs>
          <w:tab w:val="clear" w:pos="357"/>
        </w:tabs>
        <w:ind w:left="714" w:hanging="357"/>
        <w:jc w:val="both"/>
        <w:rPr>
          <w:sz w:val="22"/>
          <w:lang w:val="en-GB"/>
        </w:rPr>
      </w:pPr>
      <w:r w:rsidRPr="00A828CB">
        <w:rPr>
          <w:sz w:val="22"/>
          <w:lang w:val="en-GB"/>
        </w:rPr>
        <w:t xml:space="preserve">builds green areas and parks for citizens </w:t>
      </w:r>
      <w:r w:rsidR="00F30201">
        <w:rPr>
          <w:sz w:val="22"/>
          <w:lang w:val="en-GB"/>
        </w:rPr>
        <w:t>i</w:t>
      </w:r>
      <w:r w:rsidRPr="00A828CB">
        <w:rPr>
          <w:sz w:val="22"/>
          <w:lang w:val="en-GB"/>
        </w:rPr>
        <w:t xml:space="preserve">n the port area, cleans coastlines and preserves sea and land nature as well as encourages repopulation of endangered species (biodiversity) – </w:t>
      </w:r>
      <w:proofErr w:type="gramStart"/>
      <w:r w:rsidRPr="00A828CB">
        <w:rPr>
          <w:sz w:val="22"/>
          <w:lang w:val="en-GB"/>
        </w:rPr>
        <w:t>e.g.</w:t>
      </w:r>
      <w:proofErr w:type="gramEnd"/>
      <w:r w:rsidRPr="00A828CB">
        <w:rPr>
          <w:sz w:val="22"/>
          <w:lang w:val="en-GB"/>
        </w:rPr>
        <w:t xml:space="preserve"> building underwater infra where fish, mussels and plants thrive;</w:t>
      </w:r>
    </w:p>
    <w:p w14:paraId="73B82ECE" w14:textId="069898B5" w:rsidR="0007384A" w:rsidRPr="00A828CB" w:rsidRDefault="0007384A" w:rsidP="00B8187F">
      <w:pPr>
        <w:pStyle w:val="ListParagraph"/>
        <w:numPr>
          <w:ilvl w:val="0"/>
          <w:numId w:val="4"/>
        </w:numPr>
        <w:tabs>
          <w:tab w:val="clear" w:pos="357"/>
        </w:tabs>
        <w:ind w:left="714" w:hanging="357"/>
        <w:jc w:val="both"/>
        <w:rPr>
          <w:lang w:val="en-GB"/>
        </w:rPr>
      </w:pPr>
      <w:r w:rsidRPr="00A828CB">
        <w:rPr>
          <w:sz w:val="22"/>
          <w:lang w:val="en-GB"/>
        </w:rPr>
        <w:t xml:space="preserve">transparent with its activities and green policies (shows how you deliver goods for internet shoppers, produce energy, disseminate good environmental practices, port’s policy available on the website), active on social media and offline (reaching out </w:t>
      </w:r>
      <w:r w:rsidR="00F30201">
        <w:rPr>
          <w:sz w:val="22"/>
          <w:lang w:val="en-GB"/>
        </w:rPr>
        <w:t xml:space="preserve">to </w:t>
      </w:r>
      <w:r w:rsidRPr="00A828CB">
        <w:rPr>
          <w:sz w:val="22"/>
          <w:lang w:val="en-GB"/>
        </w:rPr>
        <w:t xml:space="preserve">youth at schools, and families - open port days), target groups: general public, port workers, potential port workers, local community; themes for improvement: find it on Page 40 in </w:t>
      </w:r>
      <w:hyperlink r:id="rId14" w:history="1">
        <w:r w:rsidRPr="00A828CB">
          <w:rPr>
            <w:rStyle w:val="Hyperlink"/>
            <w:sz w:val="22"/>
            <w:lang w:val="en-GB"/>
          </w:rPr>
          <w:t>ESPO Green Guide</w:t>
        </w:r>
      </w:hyperlink>
      <w:r w:rsidRPr="00A828CB">
        <w:rPr>
          <w:sz w:val="22"/>
          <w:lang w:val="en-GB"/>
        </w:rPr>
        <w:t>.</w:t>
      </w:r>
    </w:p>
    <w:p w14:paraId="7BE88DC5" w14:textId="77777777" w:rsidR="0007384A" w:rsidRPr="0018371C" w:rsidRDefault="0007384A" w:rsidP="00B8187F">
      <w:pPr>
        <w:pStyle w:val="BodyText"/>
        <w:jc w:val="both"/>
        <w:rPr>
          <w:lang w:val="en-GB"/>
        </w:rPr>
      </w:pPr>
    </w:p>
    <w:p w14:paraId="2393AD3D" w14:textId="77777777" w:rsidR="0007384A" w:rsidRPr="0018371C" w:rsidRDefault="0007384A" w:rsidP="00B8187F">
      <w:pPr>
        <w:pStyle w:val="BodyText"/>
        <w:jc w:val="both"/>
        <w:rPr>
          <w:lang w:val="en-US"/>
        </w:rPr>
      </w:pPr>
    </w:p>
    <w:p w14:paraId="7369BB93" w14:textId="77777777" w:rsidR="0007384A" w:rsidRPr="0018371C" w:rsidRDefault="0007384A" w:rsidP="00B8187F">
      <w:pPr>
        <w:pStyle w:val="BodyText"/>
        <w:jc w:val="both"/>
        <w:rPr>
          <w:lang w:val="en-US"/>
        </w:rPr>
      </w:pPr>
    </w:p>
    <w:p w14:paraId="3A4DDC01" w14:textId="77777777" w:rsidR="0007384A" w:rsidRPr="0018371C" w:rsidRDefault="0007384A" w:rsidP="00B8187F">
      <w:pPr>
        <w:pStyle w:val="BodyText"/>
        <w:jc w:val="both"/>
        <w:rPr>
          <w:lang w:val="en-US"/>
        </w:rPr>
      </w:pPr>
    </w:p>
    <w:p w14:paraId="57FDF7E4" w14:textId="77777777" w:rsidR="0007384A" w:rsidRPr="0018371C" w:rsidRDefault="0007384A" w:rsidP="00B8187F">
      <w:pPr>
        <w:pStyle w:val="BodyText"/>
        <w:jc w:val="both"/>
        <w:rPr>
          <w:lang w:val="en-US"/>
        </w:rPr>
      </w:pPr>
    </w:p>
    <w:p w14:paraId="451BC463" w14:textId="77777777" w:rsidR="0007384A" w:rsidRPr="0018371C" w:rsidRDefault="0007384A" w:rsidP="00B8187F">
      <w:pPr>
        <w:pStyle w:val="BodyText"/>
        <w:jc w:val="both"/>
        <w:rPr>
          <w:lang w:val="en-US"/>
        </w:rPr>
      </w:pPr>
    </w:p>
    <w:p w14:paraId="5549ECA5" w14:textId="77777777" w:rsidR="0007384A" w:rsidRPr="0018371C" w:rsidRDefault="0007384A" w:rsidP="00B8187F">
      <w:pPr>
        <w:pStyle w:val="BodyText"/>
        <w:jc w:val="both"/>
        <w:rPr>
          <w:lang w:val="en-US"/>
        </w:rPr>
      </w:pPr>
    </w:p>
    <w:p w14:paraId="10085840" w14:textId="77777777" w:rsidR="0007384A" w:rsidRPr="0018371C" w:rsidRDefault="0007384A" w:rsidP="00B8187F">
      <w:pPr>
        <w:pStyle w:val="BodyText"/>
        <w:jc w:val="both"/>
        <w:rPr>
          <w:lang w:val="en-US"/>
        </w:rPr>
      </w:pPr>
    </w:p>
    <w:p w14:paraId="7A3229DA" w14:textId="7FC0B1D6" w:rsidR="00CB03B0" w:rsidRPr="0007384A" w:rsidRDefault="00CB03B0" w:rsidP="00B8187F">
      <w:pPr>
        <w:pStyle w:val="BodyText"/>
        <w:ind w:left="0"/>
        <w:jc w:val="both"/>
        <w:rPr>
          <w:lang w:val="en-US"/>
        </w:rPr>
      </w:pPr>
    </w:p>
    <w:sectPr w:rsidR="00CB03B0" w:rsidRPr="0007384A" w:rsidSect="00887770">
      <w:headerReference w:type="even" r:id="rId15"/>
      <w:headerReference w:type="default" r:id="rId16"/>
      <w:footerReference w:type="even" r:id="rId17"/>
      <w:footerReference w:type="default" r:id="rId18"/>
      <w:headerReference w:type="first" r:id="rId19"/>
      <w:footerReference w:type="first" r:id="rId20"/>
      <w:pgSz w:w="11906" w:h="16838" w:code="9"/>
      <w:pgMar w:top="1304" w:right="851" w:bottom="2155"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E2799" w14:textId="77777777" w:rsidR="00152339" w:rsidRDefault="00152339" w:rsidP="005D15C3">
      <w:pPr>
        <w:spacing w:line="240" w:lineRule="auto"/>
      </w:pPr>
      <w:r>
        <w:separator/>
      </w:r>
    </w:p>
  </w:endnote>
  <w:endnote w:type="continuationSeparator" w:id="0">
    <w:p w14:paraId="4E841052" w14:textId="77777777" w:rsidR="00152339" w:rsidRDefault="00152339" w:rsidP="005D15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CCD11" w14:textId="77777777" w:rsidR="00B8187F" w:rsidRDefault="00B818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8FADD" w14:textId="69304D56" w:rsidR="0015387E" w:rsidRPr="003F4F95" w:rsidRDefault="00B8187F" w:rsidP="003F4F95">
    <w:pPr>
      <w:pStyle w:val="Footer"/>
    </w:pPr>
    <w:r>
      <w:rPr>
        <w:noProof/>
      </w:rPr>
      <w:drawing>
        <wp:anchor distT="0" distB="0" distL="114300" distR="114300" simplePos="0" relativeHeight="251724800" behindDoc="0" locked="0" layoutInCell="1" allowOverlap="1" wp14:anchorId="7D13C583" wp14:editId="5DFAEE87">
          <wp:simplePos x="0" y="0"/>
          <wp:positionH relativeFrom="column">
            <wp:posOffset>0</wp:posOffset>
          </wp:positionH>
          <wp:positionV relativeFrom="paragraph">
            <wp:posOffset>-571500</wp:posOffset>
          </wp:positionV>
          <wp:extent cx="904875" cy="7747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2800" t="21800" r="21400" b="30400"/>
                  <a:stretch/>
                </pic:blipFill>
                <pic:spPr bwMode="auto">
                  <a:xfrm>
                    <a:off x="0" y="0"/>
                    <a:ext cx="904875" cy="774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4F95">
      <w:rPr>
        <w:noProof/>
        <w:lang w:eastAsia="fi-FI"/>
      </w:rPr>
      <w:drawing>
        <wp:anchor distT="0" distB="0" distL="114300" distR="114300" simplePos="0" relativeHeight="251715584" behindDoc="1" locked="0" layoutInCell="1" allowOverlap="1" wp14:anchorId="6F20E9B3" wp14:editId="5CB278FA">
          <wp:simplePos x="0" y="0"/>
          <wp:positionH relativeFrom="page">
            <wp:posOffset>4864100</wp:posOffset>
          </wp:positionH>
          <wp:positionV relativeFrom="page">
            <wp:posOffset>9555480</wp:posOffset>
          </wp:positionV>
          <wp:extent cx="1260000" cy="892800"/>
          <wp:effectExtent l="0" t="0" r="0" b="3175"/>
          <wp:wrapNone/>
          <wp:docPr id="66" name="Kuva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uva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60000" cy="892800"/>
                  </a:xfrm>
                  <a:prstGeom prst="rect">
                    <a:avLst/>
                  </a:prstGeom>
                </pic:spPr>
              </pic:pic>
            </a:graphicData>
          </a:graphic>
          <wp14:sizeRelH relativeFrom="margin">
            <wp14:pctWidth>0</wp14:pctWidth>
          </wp14:sizeRelH>
          <wp14:sizeRelV relativeFrom="margin">
            <wp14:pctHeight>0</wp14:pctHeight>
          </wp14:sizeRelV>
        </wp:anchor>
      </w:drawing>
    </w:r>
    <w:r w:rsidR="003F4F95">
      <w:rPr>
        <w:noProof/>
        <w:lang w:eastAsia="fi-FI"/>
      </w:rPr>
      <w:drawing>
        <wp:anchor distT="0" distB="0" distL="114300" distR="114300" simplePos="0" relativeHeight="251720704" behindDoc="1" locked="0" layoutInCell="1" allowOverlap="1" wp14:anchorId="6EA3A2C6" wp14:editId="4614E37A">
          <wp:simplePos x="0" y="0"/>
          <wp:positionH relativeFrom="page">
            <wp:posOffset>6167755</wp:posOffset>
          </wp:positionH>
          <wp:positionV relativeFrom="page">
            <wp:posOffset>9508490</wp:posOffset>
          </wp:positionV>
          <wp:extent cx="918000" cy="1008000"/>
          <wp:effectExtent l="0" t="0" r="0" b="1905"/>
          <wp:wrapNone/>
          <wp:docPr id="71" name="Kuva 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uva 8"/>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918000" cy="1008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8C0C0" w14:textId="77777777" w:rsidR="00D41D19" w:rsidRDefault="00D41D19" w:rsidP="00D41D19">
    <w:pPr>
      <w:pStyle w:val="Header"/>
    </w:pPr>
    <w:r>
      <w:rPr>
        <w:noProof/>
      </w:rPr>
      <w:drawing>
        <wp:anchor distT="0" distB="0" distL="114300" distR="114300" simplePos="0" relativeHeight="251700224" behindDoc="1" locked="0" layoutInCell="1" allowOverlap="1" wp14:anchorId="19254F99" wp14:editId="476B5A34">
          <wp:simplePos x="0" y="0"/>
          <wp:positionH relativeFrom="page">
            <wp:posOffset>3168650</wp:posOffset>
          </wp:positionH>
          <wp:positionV relativeFrom="page">
            <wp:posOffset>8623300</wp:posOffset>
          </wp:positionV>
          <wp:extent cx="3560400" cy="1688400"/>
          <wp:effectExtent l="0" t="0" r="2540" b="7620"/>
          <wp:wrapNone/>
          <wp:docPr id="55" name="Kuva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slogan eng.jpg"/>
                  <pic:cNvPicPr/>
                </pic:nvPicPr>
                <pic:blipFill>
                  <a:blip r:embed="rId1">
                    <a:extLst>
                      <a:ext uri="{28A0092B-C50C-407E-A947-70E740481C1C}">
                        <a14:useLocalDpi xmlns:a14="http://schemas.microsoft.com/office/drawing/2010/main" val="0"/>
                      </a:ext>
                    </a:extLst>
                  </a:blip>
                  <a:stretch>
                    <a:fillRect/>
                  </a:stretch>
                </pic:blipFill>
                <pic:spPr>
                  <a:xfrm>
                    <a:off x="0" y="0"/>
                    <a:ext cx="3560400" cy="1688400"/>
                  </a:xfrm>
                  <a:prstGeom prst="rect">
                    <a:avLst/>
                  </a:prstGeom>
                </pic:spPr>
              </pic:pic>
            </a:graphicData>
          </a:graphic>
          <wp14:sizeRelH relativeFrom="margin">
            <wp14:pctWidth>0</wp14:pctWidth>
          </wp14:sizeRelH>
          <wp14:sizeRelV relativeFrom="margin">
            <wp14:pctHeight>0</wp14:pctHeight>
          </wp14:sizeRelV>
        </wp:anchor>
      </w:drawing>
    </w:r>
  </w:p>
  <w:p w14:paraId="7647474F" w14:textId="77777777" w:rsidR="00D41D19" w:rsidRDefault="00D41D19" w:rsidP="00D41D19">
    <w:pPr>
      <w:pStyle w:val="Header"/>
    </w:pPr>
  </w:p>
  <w:p w14:paraId="27879F6E" w14:textId="77777777" w:rsidR="00D41D19" w:rsidRPr="005D15C3" w:rsidRDefault="00D41D19" w:rsidP="00D41D19">
    <w:pPr>
      <w:pStyle w:val="Header"/>
    </w:pPr>
  </w:p>
  <w:p w14:paraId="18FC1103" w14:textId="1CCB28F1" w:rsidR="00D41D19" w:rsidRDefault="00D41D19" w:rsidP="00D41D19">
    <w:pPr>
      <w:pStyle w:val="Footer"/>
    </w:pPr>
    <w:r>
      <w:rPr>
        <w:noProof/>
        <w:lang w:eastAsia="fi-FI"/>
      </w:rPr>
      <w:drawing>
        <wp:anchor distT="0" distB="0" distL="114300" distR="114300" simplePos="0" relativeHeight="251702272" behindDoc="1" locked="0" layoutInCell="1" allowOverlap="1" wp14:anchorId="1FC04899" wp14:editId="2C38E370">
          <wp:simplePos x="0" y="0"/>
          <wp:positionH relativeFrom="page">
            <wp:posOffset>4864100</wp:posOffset>
          </wp:positionH>
          <wp:positionV relativeFrom="page">
            <wp:posOffset>9555480</wp:posOffset>
          </wp:positionV>
          <wp:extent cx="1260000" cy="892800"/>
          <wp:effectExtent l="0" t="0" r="0" b="3175"/>
          <wp:wrapNone/>
          <wp:docPr id="5" name="Kuva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uva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60000" cy="892800"/>
                  </a:xfrm>
                  <a:prstGeom prst="rect">
                    <a:avLst/>
                  </a:prstGeom>
                </pic:spPr>
              </pic:pic>
            </a:graphicData>
          </a:graphic>
          <wp14:sizeRelH relativeFrom="margin">
            <wp14:pctWidth>0</wp14:pctWidth>
          </wp14:sizeRelH>
          <wp14:sizeRelV relativeFrom="margin">
            <wp14:pctHeight>0</wp14:pctHeight>
          </wp14:sizeRelV>
        </wp:anchor>
      </w:drawing>
    </w:r>
    <w:r w:rsidRPr="00E05AB0">
      <w:rPr>
        <w:noProof/>
        <w:lang w:eastAsia="fi-FI"/>
      </w:rPr>
      <w:t xml:space="preserve"> </w:t>
    </w:r>
    <w:r>
      <w:rPr>
        <w:noProof/>
        <w:lang w:eastAsia="fi-FI"/>
      </w:rPr>
      <w:t xml:space="preserve"> </w:t>
    </w:r>
  </w:p>
  <w:p w14:paraId="161135A0" w14:textId="47958EAA" w:rsidR="00E05AB0" w:rsidRDefault="00E05AB0" w:rsidP="00D41D19">
    <w:pPr>
      <w:pStyle w:val="Footer"/>
    </w:pPr>
  </w:p>
  <w:p w14:paraId="6C239694" w14:textId="3BD1ABAC" w:rsidR="00D41D19" w:rsidRDefault="00D41D19" w:rsidP="00D41D19">
    <w:pPr>
      <w:pStyle w:val="Footer"/>
    </w:pPr>
  </w:p>
  <w:p w14:paraId="4450DDB4" w14:textId="75B3B08F" w:rsidR="00D41D19" w:rsidRDefault="00B8187F" w:rsidP="00D41D19">
    <w:pPr>
      <w:pStyle w:val="Footer"/>
    </w:pPr>
    <w:r>
      <w:rPr>
        <w:noProof/>
      </w:rPr>
      <w:drawing>
        <wp:anchor distT="0" distB="0" distL="114300" distR="114300" simplePos="0" relativeHeight="251722752" behindDoc="0" locked="0" layoutInCell="1" allowOverlap="1" wp14:anchorId="1BBD5EE6" wp14:editId="56DCA199">
          <wp:simplePos x="0" y="0"/>
          <wp:positionH relativeFrom="column">
            <wp:posOffset>0</wp:posOffset>
          </wp:positionH>
          <wp:positionV relativeFrom="paragraph">
            <wp:posOffset>129540</wp:posOffset>
          </wp:positionV>
          <wp:extent cx="904875" cy="7747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l="22800" t="21800" r="21400" b="30400"/>
                  <a:stretch/>
                </pic:blipFill>
                <pic:spPr bwMode="auto">
                  <a:xfrm>
                    <a:off x="0" y="0"/>
                    <a:ext cx="904875" cy="774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F2E4AF" w14:textId="43FFE97F" w:rsidR="00D41D19" w:rsidRPr="0007384A" w:rsidRDefault="00D41D19" w:rsidP="00D41D19">
    <w:pPr>
      <w:pStyle w:val="Footer"/>
      <w:rPr>
        <w:lang w:val="en-US"/>
      </w:rPr>
    </w:pPr>
  </w:p>
  <w:p w14:paraId="6A698A5F" w14:textId="6DEE599E" w:rsidR="00D41D19" w:rsidRPr="0007384A" w:rsidRDefault="00D41D19" w:rsidP="00D41D19">
    <w:pPr>
      <w:pStyle w:val="Footer"/>
      <w:rPr>
        <w:lang w:val="en-US"/>
      </w:rPr>
    </w:pPr>
  </w:p>
  <w:p w14:paraId="6BF0ECF2" w14:textId="5F3CB541" w:rsidR="00D41D19" w:rsidRPr="0007384A" w:rsidRDefault="00D41D19" w:rsidP="00D41D19">
    <w:pPr>
      <w:pStyle w:val="Footer"/>
      <w:rPr>
        <w:lang w:val="en-US"/>
      </w:rPr>
    </w:pPr>
  </w:p>
  <w:p w14:paraId="7A697F33" w14:textId="5707C11B" w:rsidR="00D41D19" w:rsidRPr="00D41D19" w:rsidRDefault="003F4F95" w:rsidP="00D41D19">
    <w:pPr>
      <w:pStyle w:val="Footer"/>
    </w:pPr>
    <w:r>
      <w:rPr>
        <w:noProof/>
        <w:lang w:eastAsia="fi-FI"/>
      </w:rPr>
      <w:drawing>
        <wp:anchor distT="0" distB="0" distL="114300" distR="114300" simplePos="0" relativeHeight="251712512" behindDoc="1" locked="0" layoutInCell="1" allowOverlap="1" wp14:anchorId="5F8813F5" wp14:editId="4E484892">
          <wp:simplePos x="0" y="0"/>
          <wp:positionH relativeFrom="page">
            <wp:posOffset>6167755</wp:posOffset>
          </wp:positionH>
          <wp:positionV relativeFrom="page">
            <wp:posOffset>9508490</wp:posOffset>
          </wp:positionV>
          <wp:extent cx="918000" cy="1008000"/>
          <wp:effectExtent l="0" t="0" r="0" b="1905"/>
          <wp:wrapNone/>
          <wp:docPr id="8" name="Kuva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uva 8"/>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918000" cy="100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48A53" w14:textId="77777777" w:rsidR="00152339" w:rsidRDefault="00152339" w:rsidP="005D15C3">
      <w:pPr>
        <w:spacing w:line="240" w:lineRule="auto"/>
      </w:pPr>
      <w:r>
        <w:separator/>
      </w:r>
    </w:p>
  </w:footnote>
  <w:footnote w:type="continuationSeparator" w:id="0">
    <w:p w14:paraId="07F6A641" w14:textId="77777777" w:rsidR="00152339" w:rsidRDefault="00152339" w:rsidP="005D15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42196" w14:textId="77777777" w:rsidR="00B8187F" w:rsidRDefault="00B818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59925" w14:textId="37AB46E6" w:rsidR="005D15C3" w:rsidRPr="00887770" w:rsidRDefault="00000000" w:rsidP="00887770">
    <w:pPr>
      <w:pStyle w:val="Header"/>
      <w:jc w:val="right"/>
    </w:pPr>
    <w:sdt>
      <w:sdtPr>
        <w:id w:val="1888989637"/>
        <w:docPartObj>
          <w:docPartGallery w:val="Page Numbers (Top of Page)"/>
          <w:docPartUnique/>
        </w:docPartObj>
      </w:sdtPr>
      <w:sdtContent>
        <w:r w:rsidR="00887770" w:rsidRPr="005D15C3">
          <w:fldChar w:fldCharType="begin"/>
        </w:r>
        <w:r w:rsidR="00887770" w:rsidRPr="005D15C3">
          <w:instrText>PAGE   \* MERGEFORMAT</w:instrText>
        </w:r>
        <w:r w:rsidR="00887770" w:rsidRPr="005D15C3">
          <w:fldChar w:fldCharType="separate"/>
        </w:r>
        <w:r w:rsidR="00887770">
          <w:t>2</w:t>
        </w:r>
        <w:r w:rsidR="00887770" w:rsidRPr="005D15C3">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F4484" w14:textId="5247E1E2" w:rsidR="00206BE3" w:rsidRPr="00A630EA" w:rsidRDefault="00206BE3" w:rsidP="0007384A">
    <w:pPr>
      <w:pStyle w:val="Header"/>
    </w:pPr>
    <w:r w:rsidRPr="00A630EA">
      <w:tab/>
    </w:r>
  </w:p>
  <w:p w14:paraId="23AF45AC" w14:textId="0093BF9D" w:rsidR="005D15C3" w:rsidRPr="00206BE3" w:rsidRDefault="005D15C3" w:rsidP="00206B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26A78"/>
    <w:multiLevelType w:val="hybridMultilevel"/>
    <w:tmpl w:val="A630F4F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0627F67"/>
    <w:multiLevelType w:val="hybridMultilevel"/>
    <w:tmpl w:val="8E54C59C"/>
    <w:lvl w:ilvl="0" w:tplc="8CD2F75E">
      <w:start w:val="1"/>
      <w:numFmt w:val="bullet"/>
      <w:pStyle w:val="ListParagraph"/>
      <w:lvlText w:val="•"/>
      <w:lvlJc w:val="left"/>
      <w:pPr>
        <w:ind w:left="1440" w:hanging="360"/>
      </w:pPr>
      <w:rPr>
        <w:rFonts w:ascii="Verdana" w:hAnsi="Verdana"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 w15:restartNumberingAfterBreak="0">
    <w:nsid w:val="2C1672A4"/>
    <w:multiLevelType w:val="hybridMultilevel"/>
    <w:tmpl w:val="89FC2F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70693F41"/>
    <w:multiLevelType w:val="hybridMultilevel"/>
    <w:tmpl w:val="AFAAA9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7C800968"/>
    <w:multiLevelType w:val="hybridMultilevel"/>
    <w:tmpl w:val="2BD85388"/>
    <w:lvl w:ilvl="0" w:tplc="040B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1987199684">
    <w:abstractNumId w:val="1"/>
  </w:num>
  <w:num w:numId="2" w16cid:durableId="1612933006">
    <w:abstractNumId w:val="2"/>
  </w:num>
  <w:num w:numId="3" w16cid:durableId="997880150">
    <w:abstractNumId w:val="0"/>
  </w:num>
  <w:num w:numId="4" w16cid:durableId="1134256882">
    <w:abstractNumId w:val="3"/>
  </w:num>
  <w:num w:numId="5" w16cid:durableId="9475473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A3NTM0MzGwMLIwMzNT0lEKTi0uzszPAykwrAUA+dq6WiwAAAA="/>
  </w:docVars>
  <w:rsids>
    <w:rsidRoot w:val="007D1622"/>
    <w:rsid w:val="00001B32"/>
    <w:rsid w:val="00072659"/>
    <w:rsid w:val="0007384A"/>
    <w:rsid w:val="00084A29"/>
    <w:rsid w:val="000863C2"/>
    <w:rsid w:val="000E337E"/>
    <w:rsid w:val="00152339"/>
    <w:rsid w:val="0015387E"/>
    <w:rsid w:val="0017271D"/>
    <w:rsid w:val="00192DB9"/>
    <w:rsid w:val="0019366C"/>
    <w:rsid w:val="00206BE3"/>
    <w:rsid w:val="00214D2C"/>
    <w:rsid w:val="00234F6C"/>
    <w:rsid w:val="002D1ECE"/>
    <w:rsid w:val="00330CC8"/>
    <w:rsid w:val="00334F43"/>
    <w:rsid w:val="003D79ED"/>
    <w:rsid w:val="003F4F95"/>
    <w:rsid w:val="004F13D3"/>
    <w:rsid w:val="00536955"/>
    <w:rsid w:val="00546618"/>
    <w:rsid w:val="005726E0"/>
    <w:rsid w:val="00582D63"/>
    <w:rsid w:val="005C3F06"/>
    <w:rsid w:val="005D15C3"/>
    <w:rsid w:val="005E4703"/>
    <w:rsid w:val="00645D74"/>
    <w:rsid w:val="00646243"/>
    <w:rsid w:val="00692A6A"/>
    <w:rsid w:val="006D2F7B"/>
    <w:rsid w:val="006E7FBE"/>
    <w:rsid w:val="00715AFF"/>
    <w:rsid w:val="007519A0"/>
    <w:rsid w:val="007C1F0D"/>
    <w:rsid w:val="007D1622"/>
    <w:rsid w:val="00815B31"/>
    <w:rsid w:val="00862611"/>
    <w:rsid w:val="00872836"/>
    <w:rsid w:val="00887770"/>
    <w:rsid w:val="008A7894"/>
    <w:rsid w:val="008B3B64"/>
    <w:rsid w:val="008C3942"/>
    <w:rsid w:val="00923D52"/>
    <w:rsid w:val="009514CD"/>
    <w:rsid w:val="00957363"/>
    <w:rsid w:val="009F425C"/>
    <w:rsid w:val="00A40ACA"/>
    <w:rsid w:val="00B00C59"/>
    <w:rsid w:val="00B51888"/>
    <w:rsid w:val="00B675C0"/>
    <w:rsid w:val="00B8187F"/>
    <w:rsid w:val="00BA30A5"/>
    <w:rsid w:val="00BF73F9"/>
    <w:rsid w:val="00C52655"/>
    <w:rsid w:val="00C70300"/>
    <w:rsid w:val="00CA0BFF"/>
    <w:rsid w:val="00CB03B0"/>
    <w:rsid w:val="00D24C6F"/>
    <w:rsid w:val="00D41D19"/>
    <w:rsid w:val="00D44548"/>
    <w:rsid w:val="00D95308"/>
    <w:rsid w:val="00DB4984"/>
    <w:rsid w:val="00E05AB0"/>
    <w:rsid w:val="00E10247"/>
    <w:rsid w:val="00E66720"/>
    <w:rsid w:val="00E9682B"/>
    <w:rsid w:val="00F30201"/>
    <w:rsid w:val="00F5753A"/>
    <w:rsid w:val="00FC5A8E"/>
    <w:rsid w:val="00FD6B3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9FD7A"/>
  <w15:docId w15:val="{A3B2F8D5-A754-4914-BC2D-D4E229D7F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52655"/>
    <w:pPr>
      <w:spacing w:after="0" w:line="288" w:lineRule="auto"/>
    </w:pPr>
    <w:rPr>
      <w:sz w:val="24"/>
    </w:rPr>
  </w:style>
  <w:style w:type="paragraph" w:styleId="Heading1">
    <w:name w:val="heading 1"/>
    <w:next w:val="BodyText"/>
    <w:link w:val="Heading1Char"/>
    <w:uiPriority w:val="9"/>
    <w:qFormat/>
    <w:rsid w:val="0007384A"/>
    <w:pPr>
      <w:keepNext/>
      <w:keepLines/>
      <w:spacing w:before="160" w:line="580" w:lineRule="atLeast"/>
      <w:outlineLvl w:val="0"/>
    </w:pPr>
    <w:rPr>
      <w:rFonts w:asciiTheme="majorHAnsi" w:eastAsiaTheme="majorEastAsia" w:hAnsiTheme="majorHAnsi" w:cstheme="majorBidi"/>
      <w:bCs/>
      <w:color w:val="9BBB59" w:themeColor="accent3"/>
      <w:sz w:val="48"/>
      <w:szCs w:val="28"/>
    </w:rPr>
  </w:style>
  <w:style w:type="paragraph" w:styleId="Heading2">
    <w:name w:val="heading 2"/>
    <w:next w:val="BodyText"/>
    <w:link w:val="Heading2Char"/>
    <w:uiPriority w:val="9"/>
    <w:unhideWhenUsed/>
    <w:qFormat/>
    <w:rsid w:val="0007384A"/>
    <w:pPr>
      <w:keepNext/>
      <w:keepLines/>
      <w:spacing w:before="200" w:line="288" w:lineRule="auto"/>
      <w:outlineLvl w:val="1"/>
    </w:pPr>
    <w:rPr>
      <w:rFonts w:asciiTheme="majorHAnsi" w:eastAsiaTheme="majorEastAsia" w:hAnsiTheme="majorHAnsi" w:cstheme="majorBidi"/>
      <w:b/>
      <w:color w:val="9BBB59" w:themeColor="accent3"/>
      <w:sz w:val="24"/>
      <w:szCs w:val="26"/>
    </w:rPr>
  </w:style>
  <w:style w:type="paragraph" w:styleId="Heading3">
    <w:name w:val="heading 3"/>
    <w:basedOn w:val="Heading2"/>
    <w:next w:val="BodyText"/>
    <w:link w:val="Heading3Char"/>
    <w:uiPriority w:val="9"/>
    <w:semiHidden/>
    <w:unhideWhenUsed/>
    <w:qFormat/>
    <w:rsid w:val="002D1ECE"/>
    <w:pPr>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206BE3"/>
    <w:pPr>
      <w:tabs>
        <w:tab w:val="left" w:pos="5216"/>
        <w:tab w:val="left" w:pos="6521"/>
        <w:tab w:val="left" w:pos="7825"/>
      </w:tabs>
      <w:spacing w:after="0" w:line="240" w:lineRule="auto"/>
    </w:pPr>
    <w:rPr>
      <w:rFonts w:ascii="Arial" w:hAnsi="Arial"/>
      <w:sz w:val="24"/>
    </w:rPr>
  </w:style>
  <w:style w:type="character" w:customStyle="1" w:styleId="HeaderChar">
    <w:name w:val="Header Char"/>
    <w:basedOn w:val="DefaultParagraphFont"/>
    <w:link w:val="Header"/>
    <w:uiPriority w:val="99"/>
    <w:rsid w:val="00206BE3"/>
    <w:rPr>
      <w:rFonts w:ascii="Arial" w:hAnsi="Arial"/>
      <w:sz w:val="24"/>
    </w:rPr>
  </w:style>
  <w:style w:type="paragraph" w:styleId="Footer">
    <w:name w:val="footer"/>
    <w:basedOn w:val="Normal"/>
    <w:link w:val="FooterChar"/>
    <w:uiPriority w:val="99"/>
    <w:unhideWhenUsed/>
    <w:rsid w:val="005D15C3"/>
    <w:pPr>
      <w:tabs>
        <w:tab w:val="center" w:pos="4819"/>
        <w:tab w:val="right" w:pos="9638"/>
      </w:tabs>
      <w:spacing w:line="240" w:lineRule="auto"/>
    </w:pPr>
  </w:style>
  <w:style w:type="character" w:customStyle="1" w:styleId="FooterChar">
    <w:name w:val="Footer Char"/>
    <w:basedOn w:val="DefaultParagraphFont"/>
    <w:link w:val="Footer"/>
    <w:uiPriority w:val="99"/>
    <w:rsid w:val="005D15C3"/>
  </w:style>
  <w:style w:type="paragraph" w:styleId="BalloonText">
    <w:name w:val="Balloon Text"/>
    <w:basedOn w:val="Normal"/>
    <w:link w:val="BalloonTextChar"/>
    <w:uiPriority w:val="99"/>
    <w:semiHidden/>
    <w:unhideWhenUsed/>
    <w:rsid w:val="005D15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5C3"/>
    <w:rPr>
      <w:rFonts w:ascii="Tahoma" w:hAnsi="Tahoma" w:cs="Tahoma"/>
      <w:sz w:val="16"/>
      <w:szCs w:val="16"/>
    </w:rPr>
  </w:style>
  <w:style w:type="table" w:styleId="TableGrid">
    <w:name w:val="Table Grid"/>
    <w:basedOn w:val="TableNormal"/>
    <w:uiPriority w:val="59"/>
    <w:rsid w:val="00923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30CC8"/>
    <w:rPr>
      <w:color w:val="808080"/>
    </w:rPr>
  </w:style>
  <w:style w:type="paragraph" w:customStyle="1" w:styleId="Tiedot">
    <w:name w:val="Tiedot"/>
    <w:qFormat/>
    <w:rsid w:val="0017271D"/>
    <w:pPr>
      <w:spacing w:after="0" w:line="288" w:lineRule="atLeast"/>
    </w:pPr>
    <w:rPr>
      <w:rFonts w:ascii="Arial" w:hAnsi="Arial"/>
      <w:sz w:val="24"/>
    </w:rPr>
  </w:style>
  <w:style w:type="character" w:customStyle="1" w:styleId="Heading1Char">
    <w:name w:val="Heading 1 Char"/>
    <w:basedOn w:val="DefaultParagraphFont"/>
    <w:link w:val="Heading1"/>
    <w:uiPriority w:val="9"/>
    <w:rsid w:val="0007384A"/>
    <w:rPr>
      <w:rFonts w:asciiTheme="majorHAnsi" w:eastAsiaTheme="majorEastAsia" w:hAnsiTheme="majorHAnsi" w:cstheme="majorBidi"/>
      <w:bCs/>
      <w:color w:val="9BBB59" w:themeColor="accent3"/>
      <w:sz w:val="48"/>
      <w:szCs w:val="28"/>
    </w:rPr>
  </w:style>
  <w:style w:type="paragraph" w:styleId="BodyText">
    <w:name w:val="Body Text"/>
    <w:basedOn w:val="Normal"/>
    <w:link w:val="BodyTextChar"/>
    <w:qFormat/>
    <w:rsid w:val="00FC5A8E"/>
    <w:pPr>
      <w:tabs>
        <w:tab w:val="left" w:pos="357"/>
      </w:tabs>
      <w:spacing w:after="120"/>
      <w:ind w:left="1304"/>
    </w:pPr>
  </w:style>
  <w:style w:type="character" w:customStyle="1" w:styleId="BodyTextChar">
    <w:name w:val="Body Text Char"/>
    <w:basedOn w:val="DefaultParagraphFont"/>
    <w:link w:val="BodyText"/>
    <w:rsid w:val="00FC5A8E"/>
    <w:rPr>
      <w:sz w:val="24"/>
    </w:rPr>
  </w:style>
  <w:style w:type="character" w:customStyle="1" w:styleId="Heading2Char">
    <w:name w:val="Heading 2 Char"/>
    <w:basedOn w:val="DefaultParagraphFont"/>
    <w:link w:val="Heading2"/>
    <w:uiPriority w:val="9"/>
    <w:rsid w:val="0007384A"/>
    <w:rPr>
      <w:rFonts w:asciiTheme="majorHAnsi" w:eastAsiaTheme="majorEastAsia" w:hAnsiTheme="majorHAnsi" w:cstheme="majorBidi"/>
      <w:b/>
      <w:color w:val="9BBB59" w:themeColor="accent3"/>
      <w:sz w:val="24"/>
      <w:szCs w:val="26"/>
    </w:rPr>
  </w:style>
  <w:style w:type="character" w:customStyle="1" w:styleId="Heading3Char">
    <w:name w:val="Heading 3 Char"/>
    <w:basedOn w:val="DefaultParagraphFont"/>
    <w:link w:val="Heading3"/>
    <w:uiPriority w:val="9"/>
    <w:semiHidden/>
    <w:rsid w:val="002D1ECE"/>
    <w:rPr>
      <w:rFonts w:asciiTheme="majorHAnsi" w:eastAsiaTheme="majorEastAsia" w:hAnsiTheme="majorHAnsi" w:cstheme="majorBidi"/>
      <w:b/>
      <w:bCs/>
      <w:color w:val="82BE41"/>
      <w:szCs w:val="26"/>
    </w:rPr>
  </w:style>
  <w:style w:type="paragraph" w:styleId="ListParagraph">
    <w:name w:val="List Paragraph"/>
    <w:basedOn w:val="BodyText"/>
    <w:uiPriority w:val="34"/>
    <w:qFormat/>
    <w:rsid w:val="00FC5A8E"/>
    <w:pPr>
      <w:numPr>
        <w:numId w:val="1"/>
      </w:numPr>
      <w:ind w:left="1661" w:hanging="357"/>
      <w:contextualSpacing/>
    </w:pPr>
  </w:style>
  <w:style w:type="character" w:styleId="Hyperlink">
    <w:name w:val="Hyperlink"/>
    <w:basedOn w:val="DefaultParagraphFont"/>
    <w:uiPriority w:val="99"/>
    <w:unhideWhenUsed/>
    <w:rsid w:val="000738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spo.be/media/ESPO%20Green%20Guide%202021%20-%20FINAL.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ur-lex.europa.eu/legal-content/FI/TXT/PDF/?uri=CELEX:52021DC0550&amp;from=E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resource.html?uri=cellar:b828d165-1c22-11ea-8c1f-01aa75ed71a1.0003.02/DOC_1&amp;format=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spo.be/media/ESPO%20Green%20Guide%202021%20-%20FINAL.pdf"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jpeg"/><Relationship Id="rId1" Type="http://schemas.openxmlformats.org/officeDocument/2006/relationships/image" Target="media/image4.jpg"/><Relationship Id="rId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9755\AppData\Local\Temp\TEM_RR_lomake-EAKR_ESR_ruotsi_v22082014.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R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Valitse päivämäärä</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BF0949FD996DCD4C969C1AF8FBBD6E8F" ma:contentTypeVersion="16" ma:contentTypeDescription="Luo uusi asiakirja." ma:contentTypeScope="" ma:versionID="7200bb598e7ecf53b90b765b5f2953aa">
  <xsd:schema xmlns:xsd="http://www.w3.org/2001/XMLSchema" xmlns:xs="http://www.w3.org/2001/XMLSchema" xmlns:p="http://schemas.microsoft.com/office/2006/metadata/properties" xmlns:ns2="0c9e0df8-b05e-4f8d-be25-ed5823d59427" xmlns:ns3="1a2309d5-4d99-4dfa-82de-a38dcf4171fd" targetNamespace="http://schemas.microsoft.com/office/2006/metadata/properties" ma:root="true" ma:fieldsID="a3ab060b204a9c186d12ff66ba26118c" ns2:_="" ns3:_="">
    <xsd:import namespace="0c9e0df8-b05e-4f8d-be25-ed5823d59427"/>
    <xsd:import namespace="1a2309d5-4d99-4dfa-82de-a38dcf4171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e0df8-b05e-4f8d-be25-ed5823d59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Kuvien tunnisteet" ma:readOnly="false" ma:fieldId="{5cf76f15-5ced-4ddc-b409-7134ff3c332f}" ma:taxonomyMulti="true" ma:sspId="3c5529c5-a027-4c82-ab4e-2b087dfb9f53"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2309d5-4d99-4dfa-82de-a38dcf4171f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2565083-9840-4fd7-b0f4-1f44a400f1bd}" ma:internalName="TaxCatchAll" ma:showField="CatchAllData" ma:web="1a2309d5-4d99-4dfa-82de-a38dcf4171f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c9e0df8-b05e-4f8d-be25-ed5823d59427">
      <Terms xmlns="http://schemas.microsoft.com/office/infopath/2007/PartnerControls"/>
    </lcf76f155ced4ddcb4097134ff3c332f>
    <TaxCatchAll xmlns="1a2309d5-4d99-4dfa-82de-a38dcf4171fd"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83A7E5-9FA9-4E3A-AB0E-50F6E553E82A}"/>
</file>

<file path=customXml/itemProps3.xml><?xml version="1.0" encoding="utf-8"?>
<ds:datastoreItem xmlns:ds="http://schemas.openxmlformats.org/officeDocument/2006/customXml" ds:itemID="{179CD3CA-BF65-4817-8044-69D8D736BA4C}">
  <ds:schemaRefs>
    <ds:schemaRef ds:uri="http://schemas.microsoft.com/sharepoint/v3/contenttype/forms"/>
  </ds:schemaRefs>
</ds:datastoreItem>
</file>

<file path=customXml/itemProps4.xml><?xml version="1.0" encoding="utf-8"?>
<ds:datastoreItem xmlns:ds="http://schemas.openxmlformats.org/officeDocument/2006/customXml" ds:itemID="{A0F61800-CA30-410A-A133-59E8C94108C4}">
  <ds:schemaRefs>
    <ds:schemaRef ds:uri="http://schemas.microsoft.com/office/2006/metadata/properties"/>
    <ds:schemaRef ds:uri="http://schemas.microsoft.com/office/infopath/2007/PartnerControls"/>
    <ds:schemaRef ds:uri="0c9e0df8-b05e-4f8d-be25-ed5823d59427"/>
    <ds:schemaRef ds:uri="1a2309d5-4d99-4dfa-82de-a38dcf4171fd"/>
  </ds:schemaRefs>
</ds:datastoreItem>
</file>

<file path=docProps/app.xml><?xml version="1.0" encoding="utf-8"?>
<Properties xmlns="http://schemas.openxmlformats.org/officeDocument/2006/extended-properties" xmlns:vt="http://schemas.openxmlformats.org/officeDocument/2006/docPropsVTypes">
  <Template>TEM_RR_lomake-EAKR_ESR_ruotsi_v22082014</Template>
  <TotalTime>0</TotalTime>
  <Pages>2</Pages>
  <Words>617</Words>
  <Characters>3585</Characters>
  <Application>Microsoft Office Word</Application>
  <DocSecurity>0</DocSecurity>
  <Lines>64</Lines>
  <Paragraphs>28</Paragraphs>
  <ScaleCrop>false</ScaleCrop>
  <HeadingPairs>
    <vt:vector size="4" baseType="variant">
      <vt:variant>
        <vt:lpstr>Otsikko</vt:lpstr>
      </vt:variant>
      <vt:variant>
        <vt:i4>1</vt:i4>
      </vt:variant>
      <vt:variant>
        <vt:lpstr>Otsikot</vt:lpstr>
      </vt:variant>
      <vt:variant>
        <vt:i4>2</vt:i4>
      </vt:variant>
    </vt:vector>
  </HeadingPairs>
  <TitlesOfParts>
    <vt:vector size="3" baseType="lpstr">
      <vt:lpstr/>
      <vt:lpstr>Lomakkeen otsikko</vt:lpstr>
      <vt:lpstr>    Väliotsikko</vt:lpstr>
    </vt:vector>
  </TitlesOfParts>
  <Company>PP</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Laaninen Maria (TEM)</dc:creator>
  <cp:lastModifiedBy>Victor Pavlov</cp:lastModifiedBy>
  <cp:revision>2</cp:revision>
  <cp:lastPrinted>2019-10-15T08:02:00Z</cp:lastPrinted>
  <dcterms:created xsi:type="dcterms:W3CDTF">2022-11-10T12:52:00Z</dcterms:created>
  <dcterms:modified xsi:type="dcterms:W3CDTF">2022-11-10T12:52:00Z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0x010100BF0949FD996DCD4C969C1AF8FBBD6E8F</vt:lpwstr>
  </property>
  <property fmtid="{D5CDD505-2E9C-101B-9397-08002B2CF9AE}" pid="3" name="MediaServiceImageTags">
    <vt:lpwstr/>
  </property>
  <property fmtid="{D5CDD505-2E9C-101B-9397-08002B2CF9AE}" pid="4" name="GrammarlyDocumentId">
    <vt:lpwstr>55ab16cd5ef702ed0685d9ff48bdc77ad159649075ff8a1f7999846e2ea788ea</vt:lpwstr>
  </property>
</Properties>
</file>